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5F843" w14:textId="15EA8D1B" w:rsidR="00664CDE" w:rsidRPr="00916614" w:rsidRDefault="00B56FE7" w:rsidP="00916614">
      <w:pPr>
        <w:spacing w:after="0" w:line="240" w:lineRule="auto"/>
        <w:rPr>
          <w:rFonts w:ascii="Times New Roman" w:hAnsi="Times New Roman" w:cs="Times New Roman"/>
        </w:rPr>
      </w:pPr>
      <w:r w:rsidRPr="00916614">
        <w:rPr>
          <w:rFonts w:ascii="Times New Roman" w:hAnsi="Times New Roman" w:cs="Times New Roman"/>
        </w:rPr>
        <w:t>Questions for PD Outreach 05/03/2022</w:t>
      </w:r>
    </w:p>
    <w:p w14:paraId="6233FCDA" w14:textId="7F78324D" w:rsidR="008624D2" w:rsidRPr="00916614" w:rsidRDefault="008624D2" w:rsidP="00916614">
      <w:pPr>
        <w:spacing w:after="0" w:line="240" w:lineRule="auto"/>
        <w:rPr>
          <w:rFonts w:ascii="Times New Roman" w:hAnsi="Times New Roman" w:cs="Times New Roman"/>
        </w:rPr>
      </w:pPr>
    </w:p>
    <w:p w14:paraId="0B92BE81" w14:textId="77777777" w:rsidR="008624D2" w:rsidRPr="00916614" w:rsidRDefault="008624D2" w:rsidP="00916614">
      <w:pPr>
        <w:spacing w:after="0" w:line="240" w:lineRule="auto"/>
        <w:rPr>
          <w:rFonts w:ascii="Times New Roman" w:hAnsi="Times New Roman" w:cs="Times New Roman"/>
          <w:i/>
          <w:iCs/>
        </w:rPr>
      </w:pPr>
      <w:r w:rsidRPr="00916614">
        <w:rPr>
          <w:rFonts w:ascii="Times New Roman" w:hAnsi="Times New Roman" w:cs="Times New Roman"/>
          <w:i/>
          <w:iCs/>
        </w:rPr>
        <w:t xml:space="preserve">As you know, on April 25, the Doyle memorandum went into effect and ushered in a new paradigm for OPLA attorneys to exercise prosecutorial discretion, focusing on the priority designation process and streamlining the overall PD process. In general, any case that is designated as a </w:t>
      </w:r>
      <w:r w:rsidRPr="00916614">
        <w:rPr>
          <w:rFonts w:ascii="Times New Roman" w:hAnsi="Times New Roman" w:cs="Times New Roman"/>
          <w:b/>
          <w:bCs/>
          <w:i/>
          <w:iCs/>
        </w:rPr>
        <w:t>nonpriority</w:t>
      </w:r>
      <w:r w:rsidRPr="00916614">
        <w:rPr>
          <w:rFonts w:ascii="Times New Roman" w:hAnsi="Times New Roman" w:cs="Times New Roman"/>
          <w:i/>
          <w:iCs/>
        </w:rPr>
        <w:t xml:space="preserve"> will be eligible for PD. OPLA’s preferred form of PD will be dismissal without prejudice. </w:t>
      </w:r>
      <w:proofErr w:type="gramStart"/>
      <w:r w:rsidRPr="00916614">
        <w:rPr>
          <w:rFonts w:ascii="Times New Roman" w:hAnsi="Times New Roman" w:cs="Times New Roman"/>
          <w:i/>
          <w:iCs/>
        </w:rPr>
        <w:t>As a general rule</w:t>
      </w:r>
      <w:proofErr w:type="gramEnd"/>
      <w:r w:rsidRPr="00916614">
        <w:rPr>
          <w:rFonts w:ascii="Times New Roman" w:hAnsi="Times New Roman" w:cs="Times New Roman"/>
          <w:i/>
          <w:iCs/>
        </w:rPr>
        <w:t xml:space="preserve">, administrative closure should not be used as a means of indefinitely removing cases from the docket; dismissal is a more appropriate tool in these circumstances and will not simply be a backup if you decline our offer of dismissal without prejudice. There are examples and rare circumstances in the Doyle memo where we will agree to administrative closure as a matter of prosecutorial discretion. Please look at page 12 of the Doyle Memo. Also, please note that if a case falls within Matter of Avetisyan, it is amenable to administrative closure as a matter of law.   </w:t>
      </w:r>
    </w:p>
    <w:p w14:paraId="412E9E85" w14:textId="3484398C" w:rsidR="008624D2" w:rsidRPr="00916614" w:rsidRDefault="008624D2" w:rsidP="00916614">
      <w:pPr>
        <w:spacing w:after="0" w:line="240" w:lineRule="auto"/>
        <w:rPr>
          <w:rFonts w:ascii="Times New Roman" w:hAnsi="Times New Roman" w:cs="Times New Roman"/>
        </w:rPr>
      </w:pPr>
    </w:p>
    <w:p w14:paraId="29B58A65" w14:textId="62C89351" w:rsidR="00B56FE7" w:rsidRPr="00916614" w:rsidRDefault="008624D2" w:rsidP="00916614">
      <w:pPr>
        <w:spacing w:after="0" w:line="240" w:lineRule="auto"/>
        <w:rPr>
          <w:rFonts w:ascii="Times New Roman" w:hAnsi="Times New Roman" w:cs="Times New Roman"/>
        </w:rPr>
      </w:pPr>
      <w:r w:rsidRPr="00916614">
        <w:rPr>
          <w:rFonts w:ascii="Times New Roman" w:hAnsi="Times New Roman" w:cs="Times New Roman"/>
        </w:rPr>
        <w:t>W</w:t>
      </w:r>
      <w:r w:rsidR="00B56FE7" w:rsidRPr="00916614">
        <w:rPr>
          <w:rFonts w:ascii="Times New Roman" w:hAnsi="Times New Roman" w:cs="Times New Roman"/>
        </w:rPr>
        <w:t>ill OCC entertain requests to withdraw appeals filed by DHS prior to the memo’s effective date?</w:t>
      </w:r>
    </w:p>
    <w:p w14:paraId="05A88C90" w14:textId="2B19701B" w:rsidR="00B20363" w:rsidRPr="00916614" w:rsidRDefault="00B20363" w:rsidP="00916614">
      <w:pPr>
        <w:spacing w:after="0" w:line="240" w:lineRule="auto"/>
        <w:rPr>
          <w:rFonts w:ascii="Times New Roman" w:hAnsi="Times New Roman" w:cs="Times New Roman"/>
        </w:rPr>
      </w:pPr>
      <w:r w:rsidRPr="00916614">
        <w:rPr>
          <w:rFonts w:ascii="Times New Roman" w:hAnsi="Times New Roman" w:cs="Times New Roman"/>
        </w:rPr>
        <w:tab/>
      </w:r>
      <w:r w:rsidR="00B03BE2" w:rsidRPr="00916614">
        <w:rPr>
          <w:rFonts w:ascii="Times New Roman" w:hAnsi="Times New Roman" w:cs="Times New Roman"/>
          <w:i/>
          <w:iCs/>
        </w:rPr>
        <w:t>Yes, on a c</w:t>
      </w:r>
      <w:r w:rsidRPr="00916614">
        <w:rPr>
          <w:rFonts w:ascii="Times New Roman" w:hAnsi="Times New Roman" w:cs="Times New Roman"/>
          <w:i/>
          <w:iCs/>
        </w:rPr>
        <w:t>ase</w:t>
      </w:r>
      <w:r w:rsidR="00B03BE2" w:rsidRPr="00916614">
        <w:rPr>
          <w:rFonts w:ascii="Times New Roman" w:hAnsi="Times New Roman" w:cs="Times New Roman"/>
          <w:i/>
          <w:iCs/>
        </w:rPr>
        <w:t>-</w:t>
      </w:r>
      <w:r w:rsidRPr="00916614">
        <w:rPr>
          <w:rFonts w:ascii="Times New Roman" w:hAnsi="Times New Roman" w:cs="Times New Roman"/>
          <w:i/>
          <w:iCs/>
        </w:rPr>
        <w:t>by</w:t>
      </w:r>
      <w:r w:rsidR="00B03BE2" w:rsidRPr="00916614">
        <w:rPr>
          <w:rFonts w:ascii="Times New Roman" w:hAnsi="Times New Roman" w:cs="Times New Roman"/>
          <w:i/>
          <w:iCs/>
        </w:rPr>
        <w:t>-</w:t>
      </w:r>
      <w:r w:rsidRPr="00916614">
        <w:rPr>
          <w:rFonts w:ascii="Times New Roman" w:hAnsi="Times New Roman" w:cs="Times New Roman"/>
          <w:i/>
          <w:iCs/>
        </w:rPr>
        <w:t>case</w:t>
      </w:r>
      <w:r w:rsidR="00B03BE2" w:rsidRPr="00916614">
        <w:rPr>
          <w:rFonts w:ascii="Times New Roman" w:hAnsi="Times New Roman" w:cs="Times New Roman"/>
          <w:i/>
          <w:iCs/>
        </w:rPr>
        <w:t xml:space="preserve"> basis</w:t>
      </w:r>
      <w:r w:rsidRPr="00916614">
        <w:rPr>
          <w:rFonts w:ascii="Times New Roman" w:hAnsi="Times New Roman" w:cs="Times New Roman"/>
          <w:i/>
          <w:iCs/>
        </w:rPr>
        <w:t>.</w:t>
      </w:r>
      <w:r w:rsidR="00B03BE2" w:rsidRPr="00916614">
        <w:rPr>
          <w:rFonts w:ascii="Times New Roman" w:hAnsi="Times New Roman" w:cs="Times New Roman"/>
          <w:i/>
          <w:iCs/>
        </w:rPr>
        <w:t xml:space="preserve">  </w:t>
      </w:r>
      <w:r w:rsidR="00855C0C" w:rsidRPr="00916614">
        <w:rPr>
          <w:rFonts w:ascii="Times New Roman" w:hAnsi="Times New Roman" w:cs="Times New Roman"/>
          <w:i/>
          <w:iCs/>
        </w:rPr>
        <w:t>However, as stated in Section II.B.6. of the Doyle Memorandum, OPLA attorneys may continue to pursue legally viable appeals or respond to noncitizen appeals or motions in nonpriority cases where compelling bases exist to include seeking clarity on important legal issues or correcting systemic legal errors.</w:t>
      </w:r>
    </w:p>
    <w:p w14:paraId="09EE919B" w14:textId="77777777" w:rsidR="004D658A" w:rsidRPr="00916614" w:rsidRDefault="004D658A" w:rsidP="00916614">
      <w:pPr>
        <w:spacing w:after="0" w:line="240" w:lineRule="auto"/>
        <w:rPr>
          <w:rFonts w:ascii="Times New Roman" w:hAnsi="Times New Roman" w:cs="Times New Roman"/>
        </w:rPr>
      </w:pPr>
    </w:p>
    <w:p w14:paraId="0C10C589" w14:textId="73D1DB86" w:rsidR="006800DF" w:rsidRPr="00916614" w:rsidRDefault="006800DF" w:rsidP="00916614">
      <w:pPr>
        <w:spacing w:after="0" w:line="240" w:lineRule="auto"/>
        <w:rPr>
          <w:rFonts w:ascii="Times New Roman" w:eastAsia="Times New Roman" w:hAnsi="Times New Roman" w:cs="Times New Roman"/>
        </w:rPr>
      </w:pPr>
      <w:r w:rsidRPr="00916614">
        <w:rPr>
          <w:rFonts w:ascii="Times New Roman" w:eastAsia="Times New Roman" w:hAnsi="Times New Roman" w:cs="Times New Roman"/>
        </w:rPr>
        <w:t xml:space="preserve">Will OCC be amenable to dismissal of non-priority cases on appeal with the BIA that are awaiting briefing schedules? </w:t>
      </w:r>
    </w:p>
    <w:p w14:paraId="105C5670" w14:textId="57C5D884" w:rsidR="00327350" w:rsidRPr="00916614" w:rsidRDefault="00327350" w:rsidP="00916614">
      <w:pPr>
        <w:spacing w:after="0" w:line="240" w:lineRule="auto"/>
        <w:rPr>
          <w:rFonts w:ascii="Times New Roman" w:eastAsia="Times New Roman" w:hAnsi="Times New Roman" w:cs="Times New Roman"/>
          <w:i/>
          <w:iCs/>
        </w:rPr>
      </w:pPr>
      <w:r w:rsidRPr="00916614">
        <w:rPr>
          <w:rFonts w:ascii="Times New Roman" w:eastAsia="Times New Roman" w:hAnsi="Times New Roman" w:cs="Times New Roman"/>
        </w:rPr>
        <w:tab/>
      </w:r>
      <w:r w:rsidRPr="00916614">
        <w:rPr>
          <w:rFonts w:ascii="Times New Roman" w:eastAsia="Times New Roman" w:hAnsi="Times New Roman" w:cs="Times New Roman"/>
          <w:i/>
          <w:iCs/>
        </w:rPr>
        <w:t>See above</w:t>
      </w:r>
      <w:r w:rsidR="00ED6261" w:rsidRPr="00916614">
        <w:rPr>
          <w:rFonts w:ascii="Times New Roman" w:eastAsia="Times New Roman" w:hAnsi="Times New Roman" w:cs="Times New Roman"/>
          <w:i/>
          <w:iCs/>
        </w:rPr>
        <w:t xml:space="preserve"> but generally yes.</w:t>
      </w:r>
    </w:p>
    <w:p w14:paraId="7A12136D" w14:textId="77777777" w:rsidR="00327350" w:rsidRPr="00916614" w:rsidRDefault="00327350" w:rsidP="00916614">
      <w:pPr>
        <w:spacing w:after="0" w:line="240" w:lineRule="auto"/>
        <w:rPr>
          <w:rFonts w:ascii="Times New Roman" w:eastAsia="Times New Roman" w:hAnsi="Times New Roman" w:cs="Times New Roman"/>
        </w:rPr>
      </w:pPr>
    </w:p>
    <w:p w14:paraId="7A76E03F" w14:textId="5C1020E9" w:rsidR="006800DF" w:rsidRPr="00916614" w:rsidRDefault="006800DF" w:rsidP="00916614">
      <w:pPr>
        <w:spacing w:after="0" w:line="240" w:lineRule="auto"/>
        <w:rPr>
          <w:rFonts w:ascii="Times New Roman" w:eastAsia="Times New Roman" w:hAnsi="Times New Roman" w:cs="Times New Roman"/>
        </w:rPr>
      </w:pPr>
      <w:r w:rsidRPr="00916614">
        <w:rPr>
          <w:rFonts w:ascii="Times New Roman" w:eastAsia="Times New Roman" w:hAnsi="Times New Roman" w:cs="Times New Roman"/>
        </w:rPr>
        <w:t>It is my understanding that for cases that are not eligible for PD based on entry after 11/1/2020 but are eligible for administrative closure based on having pending petitions with USCIS, we do not need to seek OPLA’s opinion prior to filing the motion or include a statement from our client regarding desire for admin closure. Is this correct?</w:t>
      </w:r>
    </w:p>
    <w:p w14:paraId="7FBB45B7" w14:textId="159B022D" w:rsidR="00B56FE7" w:rsidRPr="00916614" w:rsidRDefault="00ED6261" w:rsidP="00916614">
      <w:pPr>
        <w:spacing w:after="0" w:line="240" w:lineRule="auto"/>
        <w:rPr>
          <w:rFonts w:ascii="Times New Roman" w:eastAsia="Times New Roman" w:hAnsi="Times New Roman" w:cs="Times New Roman"/>
          <w:i/>
          <w:iCs/>
        </w:rPr>
      </w:pPr>
      <w:r w:rsidRPr="00916614">
        <w:rPr>
          <w:rFonts w:ascii="Times New Roman" w:eastAsia="Times New Roman" w:hAnsi="Times New Roman" w:cs="Times New Roman"/>
        </w:rPr>
        <w:tab/>
      </w:r>
      <w:r w:rsidR="00C306BB" w:rsidRPr="00916614">
        <w:rPr>
          <w:rFonts w:ascii="Times New Roman" w:eastAsia="Times New Roman" w:hAnsi="Times New Roman" w:cs="Times New Roman"/>
          <w:i/>
          <w:iCs/>
        </w:rPr>
        <w:t xml:space="preserve">Cases that fall within Avetisyan guidelines </w:t>
      </w:r>
      <w:r w:rsidR="000725DE" w:rsidRPr="00916614">
        <w:rPr>
          <w:rFonts w:ascii="Times New Roman" w:eastAsia="Times New Roman" w:hAnsi="Times New Roman" w:cs="Times New Roman"/>
          <w:i/>
          <w:iCs/>
        </w:rPr>
        <w:t>may be administratively close</w:t>
      </w:r>
      <w:r w:rsidR="00DC2C4E" w:rsidRPr="00916614">
        <w:rPr>
          <w:rFonts w:ascii="Times New Roman" w:eastAsia="Times New Roman" w:hAnsi="Times New Roman" w:cs="Times New Roman"/>
          <w:i/>
          <w:iCs/>
        </w:rPr>
        <w:t>d</w:t>
      </w:r>
      <w:r w:rsidR="000725DE" w:rsidRPr="00916614">
        <w:rPr>
          <w:rFonts w:ascii="Times New Roman" w:eastAsia="Times New Roman" w:hAnsi="Times New Roman" w:cs="Times New Roman"/>
          <w:i/>
          <w:iCs/>
        </w:rPr>
        <w:t xml:space="preserve">, as per past protocol. </w:t>
      </w:r>
      <w:r w:rsidR="00C306BB" w:rsidRPr="00916614">
        <w:rPr>
          <w:rFonts w:ascii="Times New Roman" w:eastAsia="Times New Roman" w:hAnsi="Times New Roman" w:cs="Times New Roman"/>
          <w:i/>
          <w:iCs/>
        </w:rPr>
        <w:t xml:space="preserve"> </w:t>
      </w:r>
      <w:r w:rsidR="00E84EAF" w:rsidRPr="00916614">
        <w:rPr>
          <w:rFonts w:ascii="Times New Roman" w:eastAsia="Times New Roman" w:hAnsi="Times New Roman" w:cs="Times New Roman"/>
          <w:i/>
          <w:iCs/>
        </w:rPr>
        <w:t xml:space="preserve">Minneapolis/Omaha OPLA has been corrected as to </w:t>
      </w:r>
      <w:r w:rsidR="00DC2C4E" w:rsidRPr="00916614">
        <w:rPr>
          <w:rFonts w:ascii="Times New Roman" w:eastAsia="Times New Roman" w:hAnsi="Times New Roman" w:cs="Times New Roman"/>
          <w:i/>
          <w:iCs/>
        </w:rPr>
        <w:t xml:space="preserve">administrative closure in other cases. </w:t>
      </w:r>
      <w:r w:rsidR="00E84EAF" w:rsidRPr="00916614">
        <w:rPr>
          <w:rFonts w:ascii="Times New Roman" w:eastAsia="Times New Roman" w:hAnsi="Times New Roman" w:cs="Times New Roman"/>
          <w:i/>
          <w:iCs/>
        </w:rPr>
        <w:t xml:space="preserve"> </w:t>
      </w:r>
      <w:r w:rsidR="000725DE" w:rsidRPr="00916614">
        <w:rPr>
          <w:rFonts w:ascii="Times New Roman" w:eastAsia="Times New Roman" w:hAnsi="Times New Roman" w:cs="Times New Roman"/>
          <w:i/>
          <w:iCs/>
        </w:rPr>
        <w:t>DHS will not agree to</w:t>
      </w:r>
      <w:r w:rsidR="00C306BB" w:rsidRPr="00916614">
        <w:rPr>
          <w:rFonts w:ascii="Times New Roman" w:eastAsia="Times New Roman" w:hAnsi="Times New Roman" w:cs="Times New Roman"/>
          <w:i/>
          <w:iCs/>
        </w:rPr>
        <w:t xml:space="preserve"> administratively close</w:t>
      </w:r>
      <w:r w:rsidR="000725DE" w:rsidRPr="00916614">
        <w:rPr>
          <w:rFonts w:ascii="Times New Roman" w:eastAsia="Times New Roman" w:hAnsi="Times New Roman" w:cs="Times New Roman"/>
          <w:i/>
          <w:iCs/>
        </w:rPr>
        <w:t xml:space="preserve"> cases</w:t>
      </w:r>
      <w:r w:rsidR="00C306BB" w:rsidRPr="00916614">
        <w:rPr>
          <w:rFonts w:ascii="Times New Roman" w:eastAsia="Times New Roman" w:hAnsi="Times New Roman" w:cs="Times New Roman"/>
          <w:i/>
          <w:iCs/>
        </w:rPr>
        <w:t xml:space="preserve"> solely because</w:t>
      </w:r>
      <w:r w:rsidR="000725DE" w:rsidRPr="00916614">
        <w:rPr>
          <w:rFonts w:ascii="Times New Roman" w:eastAsia="Times New Roman" w:hAnsi="Times New Roman" w:cs="Times New Roman"/>
          <w:i/>
          <w:iCs/>
        </w:rPr>
        <w:t xml:space="preserve"> </w:t>
      </w:r>
      <w:r w:rsidR="00CD4599" w:rsidRPr="00916614">
        <w:rPr>
          <w:rFonts w:ascii="Times New Roman" w:eastAsia="Times New Roman" w:hAnsi="Times New Roman" w:cs="Times New Roman"/>
          <w:i/>
          <w:iCs/>
        </w:rPr>
        <w:t>the noncitizen</w:t>
      </w:r>
      <w:r w:rsidR="000725DE" w:rsidRPr="00916614">
        <w:rPr>
          <w:rFonts w:ascii="Times New Roman" w:eastAsia="Times New Roman" w:hAnsi="Times New Roman" w:cs="Times New Roman"/>
          <w:i/>
          <w:iCs/>
        </w:rPr>
        <w:t xml:space="preserve"> wants to retain his or her EAD</w:t>
      </w:r>
      <w:r w:rsidR="00CC75C7" w:rsidRPr="00916614">
        <w:rPr>
          <w:rFonts w:ascii="Times New Roman" w:eastAsia="Times New Roman" w:hAnsi="Times New Roman" w:cs="Times New Roman"/>
          <w:i/>
          <w:iCs/>
        </w:rPr>
        <w:t xml:space="preserve">, absent </w:t>
      </w:r>
      <w:r w:rsidR="00DC2C4E" w:rsidRPr="00916614">
        <w:rPr>
          <w:rFonts w:ascii="Times New Roman" w:eastAsia="Times New Roman" w:hAnsi="Times New Roman" w:cs="Times New Roman"/>
          <w:i/>
          <w:iCs/>
        </w:rPr>
        <w:t>compelling circum</w:t>
      </w:r>
      <w:r w:rsidR="00CC75C7" w:rsidRPr="00916614">
        <w:rPr>
          <w:rFonts w:ascii="Times New Roman" w:eastAsia="Times New Roman" w:hAnsi="Times New Roman" w:cs="Times New Roman"/>
          <w:i/>
          <w:iCs/>
        </w:rPr>
        <w:t>stances.</w:t>
      </w:r>
    </w:p>
    <w:p w14:paraId="541EF1E9" w14:textId="77777777" w:rsidR="00B20363" w:rsidRPr="00916614" w:rsidRDefault="00B20363" w:rsidP="00916614">
      <w:pPr>
        <w:spacing w:after="0" w:line="240" w:lineRule="auto"/>
        <w:rPr>
          <w:rFonts w:ascii="Times New Roman" w:hAnsi="Times New Roman" w:cs="Times New Roman"/>
          <w:i/>
          <w:iCs/>
        </w:rPr>
      </w:pPr>
    </w:p>
    <w:p w14:paraId="423357B4" w14:textId="58ECAF49" w:rsidR="00B20363" w:rsidRPr="00916614" w:rsidRDefault="00327350" w:rsidP="00916614">
      <w:pPr>
        <w:spacing w:after="0" w:line="240" w:lineRule="auto"/>
        <w:rPr>
          <w:rFonts w:ascii="Times New Roman" w:hAnsi="Times New Roman" w:cs="Times New Roman"/>
        </w:rPr>
      </w:pPr>
      <w:r w:rsidRPr="00916614">
        <w:rPr>
          <w:rFonts w:ascii="Times New Roman" w:hAnsi="Times New Roman" w:cs="Times New Roman"/>
        </w:rPr>
        <w:t>W</w:t>
      </w:r>
      <w:r w:rsidR="00B20363" w:rsidRPr="00916614">
        <w:rPr>
          <w:rFonts w:ascii="Times New Roman" w:hAnsi="Times New Roman" w:cs="Times New Roman"/>
        </w:rPr>
        <w:t xml:space="preserve">e received word that a group of Ukrainian asylum seekers have arrived and been paroled </w:t>
      </w:r>
      <w:proofErr w:type="gramStart"/>
      <w:r w:rsidR="00B20363" w:rsidRPr="00916614">
        <w:rPr>
          <w:rFonts w:ascii="Times New Roman" w:hAnsi="Times New Roman" w:cs="Times New Roman"/>
        </w:rPr>
        <w:t>in to</w:t>
      </w:r>
      <w:proofErr w:type="gramEnd"/>
      <w:r w:rsidR="00B20363" w:rsidRPr="00916614">
        <w:rPr>
          <w:rFonts w:ascii="Times New Roman" w:hAnsi="Times New Roman" w:cs="Times New Roman"/>
        </w:rPr>
        <w:t xml:space="preserve"> South Dakota. I imagine this is not the end of that story. Given the Doyle memo, humanitarian crisis in Ukraine, and the likelihood of a good number of asylum seekers arriving in the near future, have you all considered what OPLA’s position might be on </w:t>
      </w:r>
      <w:proofErr w:type="gramStart"/>
      <w:r w:rsidR="00B20363" w:rsidRPr="00916614">
        <w:rPr>
          <w:rFonts w:ascii="Times New Roman" w:hAnsi="Times New Roman" w:cs="Times New Roman"/>
        </w:rPr>
        <w:t>facial</w:t>
      </w:r>
      <w:r w:rsidR="000D1039" w:rsidRPr="00916614">
        <w:rPr>
          <w:rFonts w:ascii="Times New Roman" w:hAnsi="Times New Roman" w:cs="Times New Roman"/>
        </w:rPr>
        <w:t>l</w:t>
      </w:r>
      <w:r w:rsidR="00B20363" w:rsidRPr="00916614">
        <w:rPr>
          <w:rFonts w:ascii="Times New Roman" w:hAnsi="Times New Roman" w:cs="Times New Roman"/>
        </w:rPr>
        <w:t>y-valid</w:t>
      </w:r>
      <w:proofErr w:type="gramEnd"/>
      <w:r w:rsidR="00B20363" w:rsidRPr="00916614">
        <w:rPr>
          <w:rFonts w:ascii="Times New Roman" w:hAnsi="Times New Roman" w:cs="Times New Roman"/>
        </w:rPr>
        <w:t xml:space="preserve"> asylum claims from Ukrainian nationals? We are always hoping to streamline things and can likely get a good number of pro bono attorneys on board, but it would be helpful to know if </w:t>
      </w:r>
      <w:proofErr w:type="gramStart"/>
      <w:r w:rsidR="00B20363" w:rsidRPr="00916614">
        <w:rPr>
          <w:rFonts w:ascii="Times New Roman" w:hAnsi="Times New Roman" w:cs="Times New Roman"/>
        </w:rPr>
        <w:t>you’ve</w:t>
      </w:r>
      <w:proofErr w:type="gramEnd"/>
      <w:r w:rsidR="00B20363" w:rsidRPr="00916614">
        <w:rPr>
          <w:rFonts w:ascii="Times New Roman" w:hAnsi="Times New Roman" w:cs="Times New Roman"/>
        </w:rPr>
        <w:t xml:space="preserve"> considered these claims at all and what your general position might be (keeping in mind each case is, of course, unique). Open to any ideas you may have here. </w:t>
      </w:r>
    </w:p>
    <w:p w14:paraId="251202C8" w14:textId="07E70F94" w:rsidR="00FD5F2A" w:rsidRPr="00916614" w:rsidRDefault="00FD5F2A" w:rsidP="00916614">
      <w:pPr>
        <w:spacing w:after="0" w:line="240" w:lineRule="auto"/>
        <w:rPr>
          <w:rFonts w:ascii="Times New Roman" w:hAnsi="Times New Roman" w:cs="Times New Roman"/>
          <w:i/>
          <w:iCs/>
        </w:rPr>
      </w:pPr>
      <w:r w:rsidRPr="00916614">
        <w:rPr>
          <w:rFonts w:ascii="Times New Roman" w:hAnsi="Times New Roman" w:cs="Times New Roman"/>
        </w:rPr>
        <w:tab/>
      </w:r>
      <w:r w:rsidRPr="00916614">
        <w:rPr>
          <w:rFonts w:ascii="Times New Roman" w:hAnsi="Times New Roman" w:cs="Times New Roman"/>
          <w:i/>
          <w:iCs/>
        </w:rPr>
        <w:t>There is no</w:t>
      </w:r>
      <w:r w:rsidR="00CC3DD8" w:rsidRPr="00916614">
        <w:rPr>
          <w:rFonts w:ascii="Times New Roman" w:hAnsi="Times New Roman" w:cs="Times New Roman"/>
          <w:i/>
          <w:iCs/>
        </w:rPr>
        <w:t xml:space="preserve"> single OPLA position regarding Ukrainian asylum claims.  Each is assessed individually.  </w:t>
      </w:r>
      <w:proofErr w:type="gramStart"/>
      <w:r w:rsidR="00CC3DD8" w:rsidRPr="00916614">
        <w:rPr>
          <w:rFonts w:ascii="Times New Roman" w:hAnsi="Times New Roman" w:cs="Times New Roman"/>
          <w:i/>
          <w:iCs/>
        </w:rPr>
        <w:t>It should be pointed out that the</w:t>
      </w:r>
      <w:proofErr w:type="gramEnd"/>
      <w:r w:rsidR="00CC3DD8" w:rsidRPr="00916614">
        <w:rPr>
          <w:rFonts w:ascii="Times New Roman" w:hAnsi="Times New Roman" w:cs="Times New Roman"/>
          <w:i/>
          <w:iCs/>
        </w:rPr>
        <w:t xml:space="preserve"> </w:t>
      </w:r>
      <w:r w:rsidR="001C5B9A" w:rsidRPr="00916614">
        <w:rPr>
          <w:rFonts w:ascii="Times New Roman" w:hAnsi="Times New Roman" w:cs="Times New Roman"/>
          <w:i/>
          <w:iCs/>
        </w:rPr>
        <w:t xml:space="preserve">offer of Temporary Protected Status to many Ukrainians already in the U.S. points to a </w:t>
      </w:r>
      <w:r w:rsidR="00DF233C" w:rsidRPr="00916614">
        <w:rPr>
          <w:rFonts w:ascii="Times New Roman" w:hAnsi="Times New Roman" w:cs="Times New Roman"/>
          <w:i/>
          <w:iCs/>
        </w:rPr>
        <w:t>situation more akin to civil strife.</w:t>
      </w:r>
    </w:p>
    <w:p w14:paraId="46B868FC" w14:textId="77777777" w:rsidR="00B20363" w:rsidRPr="00916614" w:rsidRDefault="00B20363" w:rsidP="00916614">
      <w:pPr>
        <w:spacing w:after="0" w:line="240" w:lineRule="auto"/>
        <w:rPr>
          <w:rFonts w:ascii="Times New Roman" w:hAnsi="Times New Roman" w:cs="Times New Roman"/>
        </w:rPr>
      </w:pPr>
    </w:p>
    <w:p w14:paraId="2BA06829" w14:textId="464D5630" w:rsidR="00B20363" w:rsidRPr="00916614" w:rsidRDefault="00327350" w:rsidP="00916614">
      <w:pPr>
        <w:spacing w:after="0" w:line="240" w:lineRule="auto"/>
        <w:rPr>
          <w:rFonts w:ascii="Times New Roman" w:hAnsi="Times New Roman" w:cs="Times New Roman"/>
        </w:rPr>
      </w:pPr>
      <w:r w:rsidRPr="00916614">
        <w:rPr>
          <w:rFonts w:ascii="Times New Roman" w:hAnsi="Times New Roman" w:cs="Times New Roman"/>
        </w:rPr>
        <w:t>W</w:t>
      </w:r>
      <w:r w:rsidR="00B20363" w:rsidRPr="00916614">
        <w:rPr>
          <w:rFonts w:ascii="Times New Roman" w:hAnsi="Times New Roman" w:cs="Times New Roman"/>
        </w:rPr>
        <w:t xml:space="preserve">e are getting a lot of requests for guidance from our pro </w:t>
      </w:r>
      <w:proofErr w:type="spellStart"/>
      <w:r w:rsidR="00B20363" w:rsidRPr="00916614">
        <w:rPr>
          <w:rFonts w:ascii="Times New Roman" w:hAnsi="Times New Roman" w:cs="Times New Roman"/>
        </w:rPr>
        <w:t>bonos</w:t>
      </w:r>
      <w:proofErr w:type="spellEnd"/>
      <w:r w:rsidR="00B20363" w:rsidRPr="00916614">
        <w:rPr>
          <w:rFonts w:ascii="Times New Roman" w:hAnsi="Times New Roman" w:cs="Times New Roman"/>
        </w:rPr>
        <w:t xml:space="preserve"> regarding the Doyle memo and what your positions might be on stipulations in asylum hearings (general types of claims, general pieces of the claim, what you </w:t>
      </w:r>
      <w:proofErr w:type="gramStart"/>
      <w:r w:rsidR="00B20363" w:rsidRPr="00916614">
        <w:rPr>
          <w:rFonts w:ascii="Times New Roman" w:hAnsi="Times New Roman" w:cs="Times New Roman"/>
        </w:rPr>
        <w:t>definitely won’t</w:t>
      </w:r>
      <w:proofErr w:type="gramEnd"/>
      <w:r w:rsidR="00B20363" w:rsidRPr="00916614">
        <w:rPr>
          <w:rFonts w:ascii="Times New Roman" w:hAnsi="Times New Roman" w:cs="Times New Roman"/>
        </w:rPr>
        <w:t xml:space="preserve"> stipulate to, etc.). Dismissal is not really a viable option for many of our clients, though I know that is the preferred outcome from DHS’ perspective. I am also wondering what would be helpful for us to provide to you as you consider PD requests. </w:t>
      </w:r>
    </w:p>
    <w:p w14:paraId="1FF05CD6" w14:textId="13711076" w:rsidR="00DF233C" w:rsidRPr="00916614" w:rsidRDefault="00DF233C" w:rsidP="00916614">
      <w:pPr>
        <w:spacing w:after="0" w:line="240" w:lineRule="auto"/>
        <w:rPr>
          <w:rFonts w:ascii="Times New Roman" w:hAnsi="Times New Roman" w:cs="Times New Roman"/>
          <w:color w:val="0070C0"/>
        </w:rPr>
      </w:pPr>
      <w:r w:rsidRPr="00916614">
        <w:rPr>
          <w:rFonts w:ascii="Times New Roman" w:hAnsi="Times New Roman" w:cs="Times New Roman"/>
        </w:rPr>
        <w:tab/>
      </w:r>
      <w:r w:rsidRPr="00916614">
        <w:rPr>
          <w:rFonts w:ascii="Times New Roman" w:hAnsi="Times New Roman" w:cs="Times New Roman"/>
          <w:i/>
          <w:iCs/>
        </w:rPr>
        <w:t xml:space="preserve">Generally, protection claims are very fact-specific and dependent upon </w:t>
      </w:r>
      <w:r w:rsidR="009D47BC" w:rsidRPr="00916614">
        <w:rPr>
          <w:rFonts w:ascii="Times New Roman" w:hAnsi="Times New Roman" w:cs="Times New Roman"/>
          <w:i/>
          <w:iCs/>
        </w:rPr>
        <w:t xml:space="preserve">testimony.  Prosecutorial discretion should not be seen as a substitute for the </w:t>
      </w:r>
      <w:r w:rsidR="00753B92" w:rsidRPr="00916614">
        <w:rPr>
          <w:rFonts w:ascii="Times New Roman" w:hAnsi="Times New Roman" w:cs="Times New Roman"/>
          <w:i/>
          <w:iCs/>
        </w:rPr>
        <w:t>noncitizen</w:t>
      </w:r>
      <w:r w:rsidR="009D47BC" w:rsidRPr="00916614">
        <w:rPr>
          <w:rFonts w:ascii="Times New Roman" w:hAnsi="Times New Roman" w:cs="Times New Roman"/>
          <w:i/>
          <w:iCs/>
        </w:rPr>
        <w:t>’s</w:t>
      </w:r>
      <w:r w:rsidR="00B03BE2" w:rsidRPr="00916614">
        <w:rPr>
          <w:rFonts w:ascii="Times New Roman" w:hAnsi="Times New Roman" w:cs="Times New Roman"/>
          <w:i/>
          <w:iCs/>
        </w:rPr>
        <w:t xml:space="preserve"> statutory burden to meet all the </w:t>
      </w:r>
      <w:r w:rsidR="00B03BE2" w:rsidRPr="00916614">
        <w:rPr>
          <w:rFonts w:ascii="Times New Roman" w:hAnsi="Times New Roman" w:cs="Times New Roman"/>
          <w:i/>
          <w:iCs/>
        </w:rPr>
        <w:lastRenderedPageBreak/>
        <w:t>requirements</w:t>
      </w:r>
      <w:r w:rsidR="00BF2DF3" w:rsidRPr="00916614">
        <w:rPr>
          <w:rFonts w:ascii="Times New Roman" w:hAnsi="Times New Roman" w:cs="Times New Roman"/>
          <w:i/>
          <w:iCs/>
        </w:rPr>
        <w:t>.</w:t>
      </w:r>
      <w:r w:rsidR="00C75899" w:rsidRPr="00916614">
        <w:rPr>
          <w:rFonts w:ascii="Times New Roman" w:hAnsi="Times New Roman" w:cs="Times New Roman"/>
          <w:i/>
          <w:iCs/>
        </w:rPr>
        <w:t xml:space="preserve">  As far as PD is concerned, asylum applicants</w:t>
      </w:r>
      <w:r w:rsidR="00C5325C" w:rsidRPr="00916614">
        <w:rPr>
          <w:rFonts w:ascii="Times New Roman" w:hAnsi="Times New Roman" w:cs="Times New Roman"/>
          <w:i/>
          <w:iCs/>
        </w:rPr>
        <w:t xml:space="preserve"> are treated no differently than other noncitizens</w:t>
      </w:r>
      <w:r w:rsidR="004C67D1" w:rsidRPr="00916614">
        <w:rPr>
          <w:rFonts w:ascii="Times New Roman" w:hAnsi="Times New Roman" w:cs="Times New Roman"/>
          <w:i/>
          <w:iCs/>
        </w:rPr>
        <w:t>.</w:t>
      </w:r>
    </w:p>
    <w:p w14:paraId="07A01FC7" w14:textId="77777777" w:rsidR="00B20363" w:rsidRPr="00916614" w:rsidRDefault="00B20363" w:rsidP="00916614">
      <w:pPr>
        <w:spacing w:after="0" w:line="240" w:lineRule="auto"/>
        <w:rPr>
          <w:rFonts w:ascii="Times New Roman" w:eastAsia="Times New Roman" w:hAnsi="Times New Roman" w:cs="Times New Roman"/>
          <w:color w:val="000000"/>
        </w:rPr>
      </w:pPr>
    </w:p>
    <w:p w14:paraId="2EA1063E" w14:textId="3F3BF350" w:rsidR="0017614F" w:rsidRPr="00916614" w:rsidRDefault="0017614F" w:rsidP="00916614">
      <w:pPr>
        <w:spacing w:after="0" w:line="240" w:lineRule="auto"/>
        <w:rPr>
          <w:rFonts w:ascii="Times New Roman" w:hAnsi="Times New Roman" w:cs="Times New Roman"/>
        </w:rPr>
      </w:pPr>
      <w:r w:rsidRPr="00916614">
        <w:rPr>
          <w:rFonts w:ascii="Times New Roman" w:hAnsi="Times New Roman" w:cs="Times New Roman"/>
        </w:rPr>
        <w:t xml:space="preserve">The SOP states that general questions regarding PD can be sent to your office.  The SOP states that affirmative requests for PD should be mailed to the PD mailbox </w:t>
      </w:r>
      <w:hyperlink r:id="rId6" w:history="1">
        <w:r w:rsidRPr="00916614">
          <w:rPr>
            <w:rStyle w:val="Hyperlink"/>
            <w:rFonts w:ascii="Times New Roman" w:hAnsi="Times New Roman" w:cs="Times New Roman"/>
          </w:rPr>
          <w:t>ice-opla-spm-pd@ice.dhs.gov</w:t>
        </w:r>
      </w:hyperlink>
      <w:r w:rsidRPr="00916614">
        <w:rPr>
          <w:rFonts w:ascii="Times New Roman" w:hAnsi="Times New Roman" w:cs="Times New Roman"/>
        </w:rPr>
        <w:t xml:space="preserve"> .  The SOP does not state that practitioners must email a motion to OPLA, only a request.  We just received a call from an OPLA attorney stating that we must email a motion to them for consideration which is not supported by the SOP.  Can you please clarify? </w:t>
      </w:r>
    </w:p>
    <w:p w14:paraId="1D965EF6" w14:textId="5C3A663F" w:rsidR="00327350" w:rsidRPr="00916614" w:rsidRDefault="00CF34D9" w:rsidP="00916614">
      <w:pPr>
        <w:spacing w:after="0" w:line="240" w:lineRule="auto"/>
        <w:rPr>
          <w:rFonts w:ascii="Times New Roman" w:eastAsia="Times New Roman" w:hAnsi="Times New Roman" w:cs="Times New Roman"/>
          <w:i/>
          <w:iCs/>
        </w:rPr>
      </w:pPr>
      <w:r w:rsidRPr="00916614">
        <w:rPr>
          <w:rFonts w:ascii="Times New Roman" w:eastAsia="Times New Roman" w:hAnsi="Times New Roman" w:cs="Times New Roman"/>
          <w:color w:val="000000"/>
        </w:rPr>
        <w:tab/>
      </w:r>
      <w:r w:rsidR="00327350" w:rsidRPr="00916614">
        <w:rPr>
          <w:rFonts w:ascii="Times New Roman" w:eastAsia="Times New Roman" w:hAnsi="Times New Roman" w:cs="Times New Roman"/>
          <w:i/>
          <w:iCs/>
          <w:color w:val="000000"/>
        </w:rPr>
        <w:t>E</w:t>
      </w:r>
      <w:r w:rsidRPr="00916614">
        <w:rPr>
          <w:rFonts w:ascii="Times New Roman" w:eastAsia="Times New Roman" w:hAnsi="Times New Roman" w:cs="Times New Roman"/>
          <w:i/>
          <w:iCs/>
        </w:rPr>
        <w:t xml:space="preserve">mail a request for PD to </w:t>
      </w:r>
      <w:hyperlink r:id="rId7" w:history="1">
        <w:r w:rsidRPr="00916614">
          <w:rPr>
            <w:rStyle w:val="Hyperlink"/>
            <w:rFonts w:ascii="Times New Roman" w:eastAsia="Times New Roman" w:hAnsi="Times New Roman" w:cs="Times New Roman"/>
            <w:i/>
            <w:iCs/>
          </w:rPr>
          <w:t>ICE-OPLA-SPM-PD@ice.dhs.gov</w:t>
        </w:r>
      </w:hyperlink>
      <w:r w:rsidR="00327350" w:rsidRPr="00916614">
        <w:rPr>
          <w:rFonts w:ascii="Times New Roman" w:eastAsia="Times New Roman" w:hAnsi="Times New Roman" w:cs="Times New Roman"/>
          <w:i/>
          <w:iCs/>
        </w:rPr>
        <w:t xml:space="preserve"> with</w:t>
      </w:r>
      <w:r w:rsidRPr="00916614">
        <w:rPr>
          <w:rFonts w:ascii="Times New Roman" w:eastAsia="Times New Roman" w:hAnsi="Times New Roman" w:cs="Times New Roman"/>
          <w:i/>
          <w:iCs/>
        </w:rPr>
        <w:t xml:space="preserve"> the name, A#, and next hearing date of the </w:t>
      </w:r>
      <w:proofErr w:type="gramStart"/>
      <w:r w:rsidR="00753B92" w:rsidRPr="00916614">
        <w:rPr>
          <w:rFonts w:ascii="Times New Roman" w:eastAsia="Times New Roman" w:hAnsi="Times New Roman" w:cs="Times New Roman"/>
          <w:i/>
          <w:iCs/>
        </w:rPr>
        <w:t>noncitizen.</w:t>
      </w:r>
      <w:r w:rsidRPr="00916614">
        <w:rPr>
          <w:rFonts w:ascii="Times New Roman" w:eastAsia="Times New Roman" w:hAnsi="Times New Roman" w:cs="Times New Roman"/>
          <w:i/>
          <w:iCs/>
        </w:rPr>
        <w:t>.</w:t>
      </w:r>
      <w:proofErr w:type="gramEnd"/>
      <w:r w:rsidRPr="00916614">
        <w:rPr>
          <w:rFonts w:ascii="Times New Roman" w:eastAsia="Times New Roman" w:hAnsi="Times New Roman" w:cs="Times New Roman"/>
          <w:i/>
          <w:iCs/>
        </w:rPr>
        <w:t> </w:t>
      </w:r>
      <w:r w:rsidR="00327350" w:rsidRPr="00916614">
        <w:rPr>
          <w:rFonts w:ascii="Times New Roman" w:eastAsia="Times New Roman" w:hAnsi="Times New Roman" w:cs="Times New Roman"/>
          <w:i/>
          <w:iCs/>
        </w:rPr>
        <w:t xml:space="preserve"> </w:t>
      </w:r>
      <w:r w:rsidRPr="00916614">
        <w:rPr>
          <w:rFonts w:ascii="Times New Roman" w:eastAsia="Times New Roman" w:hAnsi="Times New Roman" w:cs="Times New Roman"/>
          <w:i/>
          <w:iCs/>
        </w:rPr>
        <w:t>If PD</w:t>
      </w:r>
      <w:r w:rsidR="00327350" w:rsidRPr="00916614">
        <w:rPr>
          <w:rFonts w:ascii="Times New Roman" w:eastAsia="Times New Roman" w:hAnsi="Times New Roman" w:cs="Times New Roman"/>
          <w:i/>
          <w:iCs/>
        </w:rPr>
        <w:t xml:space="preserve"> is granted</w:t>
      </w:r>
      <w:r w:rsidRPr="00916614">
        <w:rPr>
          <w:rFonts w:ascii="Times New Roman" w:eastAsia="Times New Roman" w:hAnsi="Times New Roman" w:cs="Times New Roman"/>
          <w:i/>
          <w:iCs/>
        </w:rPr>
        <w:t xml:space="preserve">, </w:t>
      </w:r>
      <w:r w:rsidR="00327350" w:rsidRPr="00916614">
        <w:rPr>
          <w:rFonts w:ascii="Times New Roman" w:eastAsia="Times New Roman" w:hAnsi="Times New Roman" w:cs="Times New Roman"/>
          <w:i/>
          <w:iCs/>
        </w:rPr>
        <w:t>OPLA</w:t>
      </w:r>
      <w:r w:rsidRPr="00916614">
        <w:rPr>
          <w:rFonts w:ascii="Times New Roman" w:eastAsia="Times New Roman" w:hAnsi="Times New Roman" w:cs="Times New Roman"/>
          <w:i/>
          <w:iCs/>
        </w:rPr>
        <w:t xml:space="preserve"> will </w:t>
      </w:r>
      <w:r w:rsidR="00327350" w:rsidRPr="00916614">
        <w:rPr>
          <w:rFonts w:ascii="Times New Roman" w:eastAsia="Times New Roman" w:hAnsi="Times New Roman" w:cs="Times New Roman"/>
          <w:i/>
          <w:iCs/>
        </w:rPr>
        <w:t>send</w:t>
      </w:r>
      <w:r w:rsidRPr="00916614">
        <w:rPr>
          <w:rFonts w:ascii="Times New Roman" w:eastAsia="Times New Roman" w:hAnsi="Times New Roman" w:cs="Times New Roman"/>
          <w:i/>
          <w:iCs/>
        </w:rPr>
        <w:t xml:space="preserve"> an email from to that </w:t>
      </w:r>
      <w:r w:rsidR="00327350" w:rsidRPr="00916614">
        <w:rPr>
          <w:rFonts w:ascii="Times New Roman" w:eastAsia="Times New Roman" w:hAnsi="Times New Roman" w:cs="Times New Roman"/>
          <w:i/>
          <w:iCs/>
        </w:rPr>
        <w:t>e</w:t>
      </w:r>
      <w:r w:rsidRPr="00916614">
        <w:rPr>
          <w:rFonts w:ascii="Times New Roman" w:eastAsia="Times New Roman" w:hAnsi="Times New Roman" w:cs="Times New Roman"/>
          <w:i/>
          <w:iCs/>
        </w:rPr>
        <w:t xml:space="preserve">ffect, </w:t>
      </w:r>
      <w:r w:rsidR="00327350" w:rsidRPr="00916614">
        <w:rPr>
          <w:rFonts w:ascii="Times New Roman" w:eastAsia="Times New Roman" w:hAnsi="Times New Roman" w:cs="Times New Roman"/>
          <w:i/>
          <w:iCs/>
        </w:rPr>
        <w:t>(</w:t>
      </w:r>
      <w:proofErr w:type="gramStart"/>
      <w:r w:rsidR="00327350" w:rsidRPr="00916614">
        <w:rPr>
          <w:rFonts w:ascii="Times New Roman" w:eastAsia="Times New Roman" w:hAnsi="Times New Roman" w:cs="Times New Roman"/>
          <w:i/>
          <w:iCs/>
        </w:rPr>
        <w:t>i.e.</w:t>
      </w:r>
      <w:proofErr w:type="gramEnd"/>
      <w:r w:rsidRPr="00916614">
        <w:rPr>
          <w:rFonts w:ascii="Times New Roman" w:eastAsia="Times New Roman" w:hAnsi="Times New Roman" w:cs="Times New Roman"/>
          <w:i/>
          <w:iCs/>
        </w:rPr>
        <w:t xml:space="preserve"> “Let this email serve as evidence of this office’s non-opposition to dismissing without prejudice.”</w:t>
      </w:r>
      <w:r w:rsidR="00327350" w:rsidRPr="00916614">
        <w:rPr>
          <w:rFonts w:ascii="Times New Roman" w:eastAsia="Times New Roman" w:hAnsi="Times New Roman" w:cs="Times New Roman"/>
          <w:i/>
          <w:iCs/>
        </w:rPr>
        <w:t xml:space="preserve">) </w:t>
      </w:r>
      <w:r w:rsidRPr="00916614">
        <w:rPr>
          <w:rFonts w:ascii="Times New Roman" w:eastAsia="Times New Roman" w:hAnsi="Times New Roman" w:cs="Times New Roman"/>
          <w:i/>
          <w:iCs/>
        </w:rPr>
        <w:t xml:space="preserve">Once </w:t>
      </w:r>
      <w:r w:rsidR="00327350" w:rsidRPr="00916614">
        <w:rPr>
          <w:rFonts w:ascii="Times New Roman" w:eastAsia="Times New Roman" w:hAnsi="Times New Roman" w:cs="Times New Roman"/>
          <w:i/>
          <w:iCs/>
        </w:rPr>
        <w:t>you</w:t>
      </w:r>
      <w:r w:rsidRPr="00916614">
        <w:rPr>
          <w:rFonts w:ascii="Times New Roman" w:eastAsia="Times New Roman" w:hAnsi="Times New Roman" w:cs="Times New Roman"/>
          <w:i/>
          <w:iCs/>
        </w:rPr>
        <w:t xml:space="preserve"> receive the </w:t>
      </w:r>
      <w:r w:rsidR="00327350" w:rsidRPr="00916614">
        <w:rPr>
          <w:rFonts w:ascii="Times New Roman" w:eastAsia="Times New Roman" w:hAnsi="Times New Roman" w:cs="Times New Roman"/>
          <w:i/>
          <w:iCs/>
        </w:rPr>
        <w:t>response from OPLA</w:t>
      </w:r>
      <w:r w:rsidRPr="00916614">
        <w:rPr>
          <w:rFonts w:ascii="Times New Roman" w:eastAsia="Times New Roman" w:hAnsi="Times New Roman" w:cs="Times New Roman"/>
          <w:i/>
          <w:iCs/>
        </w:rPr>
        <w:t xml:space="preserve">, </w:t>
      </w:r>
      <w:r w:rsidR="00327350" w:rsidRPr="00916614">
        <w:rPr>
          <w:rFonts w:ascii="Times New Roman" w:eastAsia="Times New Roman" w:hAnsi="Times New Roman" w:cs="Times New Roman"/>
          <w:i/>
          <w:iCs/>
        </w:rPr>
        <w:t>you</w:t>
      </w:r>
      <w:r w:rsidRPr="00916614">
        <w:rPr>
          <w:rFonts w:ascii="Times New Roman" w:eastAsia="Times New Roman" w:hAnsi="Times New Roman" w:cs="Times New Roman"/>
          <w:i/>
          <w:iCs/>
        </w:rPr>
        <w:t xml:space="preserve"> should then file </w:t>
      </w:r>
      <w:r w:rsidR="00327350" w:rsidRPr="00916614">
        <w:rPr>
          <w:rFonts w:ascii="Times New Roman" w:eastAsia="Times New Roman" w:hAnsi="Times New Roman" w:cs="Times New Roman"/>
          <w:i/>
          <w:iCs/>
        </w:rPr>
        <w:t>y</w:t>
      </w:r>
      <w:r w:rsidRPr="00916614">
        <w:rPr>
          <w:rFonts w:ascii="Times New Roman" w:eastAsia="Times New Roman" w:hAnsi="Times New Roman" w:cs="Times New Roman"/>
          <w:i/>
          <w:iCs/>
        </w:rPr>
        <w:t>our motion to dismiss with the court.</w:t>
      </w:r>
    </w:p>
    <w:p w14:paraId="38F661C7" w14:textId="77777777" w:rsidR="009541E7" w:rsidRPr="00916614" w:rsidRDefault="009541E7" w:rsidP="00916614">
      <w:pPr>
        <w:spacing w:after="0" w:line="240" w:lineRule="auto"/>
        <w:rPr>
          <w:rFonts w:ascii="Times New Roman" w:eastAsia="Times New Roman" w:hAnsi="Times New Roman" w:cs="Times New Roman"/>
          <w:i/>
          <w:iCs/>
        </w:rPr>
      </w:pPr>
    </w:p>
    <w:p w14:paraId="0153E341" w14:textId="76F08D4A" w:rsidR="00B56FE7" w:rsidRPr="00916614" w:rsidRDefault="00327350" w:rsidP="00916614">
      <w:pPr>
        <w:spacing w:after="0" w:line="240" w:lineRule="auto"/>
        <w:ind w:firstLine="720"/>
        <w:rPr>
          <w:rFonts w:ascii="Times New Roman" w:hAnsi="Times New Roman" w:cs="Times New Roman"/>
          <w:i/>
          <w:iCs/>
        </w:rPr>
      </w:pPr>
      <w:r w:rsidRPr="00916614">
        <w:rPr>
          <w:rFonts w:ascii="Times New Roman" w:hAnsi="Times New Roman" w:cs="Times New Roman"/>
          <w:i/>
          <w:iCs/>
        </w:rPr>
        <w:t xml:space="preserve">It </w:t>
      </w:r>
      <w:r w:rsidR="00CF34D9" w:rsidRPr="00916614">
        <w:rPr>
          <w:rFonts w:ascii="Times New Roman" w:hAnsi="Times New Roman" w:cs="Times New Roman"/>
          <w:i/>
          <w:iCs/>
        </w:rPr>
        <w:t xml:space="preserve">is very important to keep the swim lanes clear:  IJs have no prosecutorial discretion so a unilateral motion is improper. Given the volume of requests OPLA </w:t>
      </w:r>
      <w:proofErr w:type="spellStart"/>
      <w:r w:rsidR="00CF34D9" w:rsidRPr="00916614">
        <w:rPr>
          <w:rFonts w:ascii="Times New Roman" w:hAnsi="Times New Roman" w:cs="Times New Roman"/>
          <w:i/>
          <w:iCs/>
        </w:rPr>
        <w:t>Mpls</w:t>
      </w:r>
      <w:proofErr w:type="spellEnd"/>
      <w:r w:rsidR="00CF34D9" w:rsidRPr="00916614">
        <w:rPr>
          <w:rFonts w:ascii="Times New Roman" w:hAnsi="Times New Roman" w:cs="Times New Roman"/>
          <w:i/>
          <w:iCs/>
        </w:rPr>
        <w:t xml:space="preserve"> and Oma receive, a real timesaver for us is to review and then, if we agree, send the email to the atty who will then attach it to the motion and label it “unopposed.”   </w:t>
      </w:r>
    </w:p>
    <w:p w14:paraId="60FD954A" w14:textId="4E6E8793" w:rsidR="00B56FE7" w:rsidRPr="00916614" w:rsidRDefault="00B56FE7" w:rsidP="00916614">
      <w:pPr>
        <w:spacing w:after="0" w:line="240" w:lineRule="auto"/>
        <w:rPr>
          <w:rFonts w:ascii="Times New Roman" w:eastAsia="Times New Roman" w:hAnsi="Times New Roman" w:cs="Times New Roman"/>
          <w:color w:val="000000"/>
        </w:rPr>
      </w:pPr>
      <w:r w:rsidRPr="00916614">
        <w:rPr>
          <w:rFonts w:ascii="Times New Roman" w:eastAsia="Times New Roman" w:hAnsi="Times New Roman" w:cs="Times New Roman"/>
          <w:color w:val="000000"/>
        </w:rPr>
        <w:t>A few questions:</w:t>
      </w:r>
    </w:p>
    <w:p w14:paraId="7B553190" w14:textId="32E519DF" w:rsidR="00B56FE7" w:rsidRPr="00916614" w:rsidRDefault="00B56FE7" w:rsidP="00916614">
      <w:pPr>
        <w:numPr>
          <w:ilvl w:val="0"/>
          <w:numId w:val="1"/>
        </w:numPr>
        <w:spacing w:after="0" w:line="240" w:lineRule="auto"/>
        <w:rPr>
          <w:rFonts w:ascii="Times New Roman" w:eastAsia="Times New Roman" w:hAnsi="Times New Roman" w:cs="Times New Roman"/>
          <w:color w:val="000000"/>
        </w:rPr>
      </w:pPr>
      <w:r w:rsidRPr="00916614">
        <w:rPr>
          <w:rFonts w:ascii="Times New Roman" w:eastAsia="Times New Roman" w:hAnsi="Times New Roman" w:cs="Times New Roman"/>
          <w:color w:val="000000"/>
        </w:rPr>
        <w:t>any thoughts/guidance about cases pending at the BIA?</w:t>
      </w:r>
      <w:r w:rsidR="00327350" w:rsidRPr="00916614">
        <w:rPr>
          <w:rFonts w:ascii="Times New Roman" w:eastAsia="Times New Roman" w:hAnsi="Times New Roman" w:cs="Times New Roman"/>
          <w:color w:val="000000"/>
        </w:rPr>
        <w:t xml:space="preserve"> (</w:t>
      </w:r>
      <w:r w:rsidR="00327350" w:rsidRPr="00916614">
        <w:rPr>
          <w:rFonts w:ascii="Times New Roman" w:eastAsia="Times New Roman" w:hAnsi="Times New Roman" w:cs="Times New Roman"/>
          <w:i/>
          <w:iCs/>
          <w:color w:val="000000"/>
        </w:rPr>
        <w:t>See above)</w:t>
      </w:r>
    </w:p>
    <w:p w14:paraId="1A1E4C5E" w14:textId="77777777" w:rsidR="000A2F61" w:rsidRPr="00916614" w:rsidRDefault="000A2F61" w:rsidP="00916614">
      <w:pPr>
        <w:spacing w:after="0" w:line="240" w:lineRule="auto"/>
        <w:ind w:left="720"/>
        <w:rPr>
          <w:rFonts w:ascii="Times New Roman" w:eastAsia="Times New Roman" w:hAnsi="Times New Roman" w:cs="Times New Roman"/>
          <w:color w:val="000000"/>
        </w:rPr>
      </w:pPr>
    </w:p>
    <w:p w14:paraId="3C6BDFC7" w14:textId="77777777" w:rsidR="000A2F61" w:rsidRPr="00916614" w:rsidRDefault="00B56FE7" w:rsidP="00916614">
      <w:pPr>
        <w:numPr>
          <w:ilvl w:val="0"/>
          <w:numId w:val="1"/>
        </w:numPr>
        <w:spacing w:after="0" w:line="240" w:lineRule="auto"/>
        <w:rPr>
          <w:rFonts w:ascii="Times New Roman" w:eastAsia="Times New Roman" w:hAnsi="Times New Roman" w:cs="Times New Roman"/>
          <w:color w:val="000000"/>
        </w:rPr>
      </w:pPr>
      <w:r w:rsidRPr="00916614">
        <w:rPr>
          <w:rFonts w:ascii="Times New Roman" w:eastAsia="Times New Roman" w:hAnsi="Times New Roman" w:cs="Times New Roman"/>
          <w:color w:val="000000"/>
        </w:rPr>
        <w:t>what if there are no fingerprints in the system to run a background check?</w:t>
      </w:r>
      <w:r w:rsidR="000A2F61" w:rsidRPr="00916614">
        <w:rPr>
          <w:rFonts w:ascii="Times New Roman" w:eastAsia="Times New Roman" w:hAnsi="Times New Roman" w:cs="Times New Roman"/>
          <w:color w:val="000000"/>
        </w:rPr>
        <w:t xml:space="preserve"> </w:t>
      </w:r>
    </w:p>
    <w:p w14:paraId="1B7EDB23" w14:textId="2245A344" w:rsidR="00A5023F" w:rsidRPr="00916614" w:rsidRDefault="000A2F61" w:rsidP="00916614">
      <w:pPr>
        <w:pStyle w:val="ListParagraph"/>
        <w:rPr>
          <w:rFonts w:ascii="Times New Roman" w:eastAsia="Times New Roman" w:hAnsi="Times New Roman" w:cs="Times New Roman"/>
          <w:i/>
          <w:iCs/>
          <w:color w:val="000000"/>
        </w:rPr>
      </w:pPr>
      <w:r w:rsidRPr="00916614">
        <w:rPr>
          <w:rFonts w:ascii="Times New Roman" w:eastAsia="Times New Roman" w:hAnsi="Times New Roman" w:cs="Times New Roman"/>
          <w:i/>
          <w:iCs/>
          <w:color w:val="000000"/>
        </w:rPr>
        <w:t>If a noncitizen has not submitted fingerprints to DHS in the past, it is the noncitizen’s responsibility to request his or her Identity History Summary Checks directly from the FBI and to provide those results to OPLA. The Frequently Asked Questions posted on OPLA’s public facing website contains the link to the FBI site where the request can be made.</w:t>
      </w:r>
    </w:p>
    <w:p w14:paraId="4179FC2F" w14:textId="77777777" w:rsidR="00A5023F" w:rsidRPr="00916614" w:rsidRDefault="00A5023F" w:rsidP="00916614">
      <w:pPr>
        <w:spacing w:after="0" w:line="240" w:lineRule="auto"/>
        <w:rPr>
          <w:rFonts w:ascii="Times New Roman" w:eastAsia="Times New Roman" w:hAnsi="Times New Roman" w:cs="Times New Roman"/>
          <w:i/>
          <w:iCs/>
          <w:color w:val="000000"/>
        </w:rPr>
      </w:pPr>
    </w:p>
    <w:p w14:paraId="62A1D7BC" w14:textId="27355CAF" w:rsidR="00B56FE7" w:rsidRPr="00916614" w:rsidRDefault="00B56FE7" w:rsidP="00916614">
      <w:pPr>
        <w:numPr>
          <w:ilvl w:val="0"/>
          <w:numId w:val="1"/>
        </w:numPr>
        <w:spacing w:after="0" w:line="240" w:lineRule="auto"/>
        <w:rPr>
          <w:rFonts w:ascii="Times New Roman" w:eastAsia="Times New Roman" w:hAnsi="Times New Roman" w:cs="Times New Roman"/>
          <w:color w:val="000000"/>
        </w:rPr>
      </w:pPr>
      <w:r w:rsidRPr="00916614">
        <w:rPr>
          <w:rFonts w:ascii="Times New Roman" w:eastAsia="Times New Roman" w:hAnsi="Times New Roman" w:cs="Times New Roman"/>
          <w:color w:val="000000"/>
        </w:rPr>
        <w:t>if a case is administratively closed, can we seek dismissal instead?</w:t>
      </w:r>
    </w:p>
    <w:p w14:paraId="2A127B41" w14:textId="77777777" w:rsidR="00F525A7" w:rsidRPr="00916614" w:rsidRDefault="00F525A7" w:rsidP="00916614">
      <w:pPr>
        <w:pStyle w:val="ListParagraph"/>
        <w:rPr>
          <w:rFonts w:ascii="Times New Roman" w:hAnsi="Times New Roman" w:cs="Times New Roman"/>
          <w:i/>
          <w:iCs/>
        </w:rPr>
      </w:pPr>
      <w:r w:rsidRPr="00916614">
        <w:rPr>
          <w:rFonts w:ascii="Times New Roman" w:hAnsi="Times New Roman" w:cs="Times New Roman"/>
          <w:i/>
          <w:iCs/>
        </w:rPr>
        <w:t xml:space="preserve">If a case is administratively closed, a noncitizen may seek to </w:t>
      </w:r>
      <w:proofErr w:type="spellStart"/>
      <w:r w:rsidRPr="00916614">
        <w:rPr>
          <w:rFonts w:ascii="Times New Roman" w:hAnsi="Times New Roman" w:cs="Times New Roman"/>
          <w:i/>
          <w:iCs/>
        </w:rPr>
        <w:t>recalendar</w:t>
      </w:r>
      <w:proofErr w:type="spellEnd"/>
      <w:r w:rsidRPr="00916614">
        <w:rPr>
          <w:rFonts w:ascii="Times New Roman" w:hAnsi="Times New Roman" w:cs="Times New Roman"/>
          <w:i/>
          <w:iCs/>
        </w:rPr>
        <w:t xml:space="preserve"> and dismiss removal proceedings. However, please be mindful that OPLA attorneys will prioritize case reviews and requests for prosecutorial discretion in cases that are on the court’s active docket.  </w:t>
      </w:r>
    </w:p>
    <w:p w14:paraId="453174C6" w14:textId="77777777" w:rsidR="009C6D5B" w:rsidRPr="00916614" w:rsidRDefault="009C6D5B" w:rsidP="00916614">
      <w:pPr>
        <w:spacing w:after="0" w:line="240" w:lineRule="auto"/>
        <w:ind w:left="720"/>
        <w:rPr>
          <w:rFonts w:ascii="Times New Roman" w:eastAsia="Times New Roman" w:hAnsi="Times New Roman" w:cs="Times New Roman"/>
          <w:color w:val="000000"/>
        </w:rPr>
      </w:pPr>
    </w:p>
    <w:p w14:paraId="796A389A" w14:textId="51D110DC" w:rsidR="00FF6854" w:rsidRPr="00916614" w:rsidRDefault="00FF6854" w:rsidP="00916614">
      <w:pPr>
        <w:spacing w:after="0" w:line="240" w:lineRule="auto"/>
        <w:rPr>
          <w:rFonts w:ascii="Times New Roman" w:hAnsi="Times New Roman" w:cs="Times New Roman"/>
        </w:rPr>
      </w:pPr>
      <w:r w:rsidRPr="00916614">
        <w:rPr>
          <w:rFonts w:ascii="Times New Roman" w:hAnsi="Times New Roman" w:cs="Times New Roman"/>
        </w:rPr>
        <w:t xml:space="preserve">For UACs with pending TVPRA/SIJS who request termination with the court. Will they be </w:t>
      </w:r>
      <w:proofErr w:type="spellStart"/>
      <w:r w:rsidRPr="00916614">
        <w:rPr>
          <w:rFonts w:ascii="Times New Roman" w:hAnsi="Times New Roman" w:cs="Times New Roman"/>
        </w:rPr>
        <w:t>NTA’d</w:t>
      </w:r>
      <w:proofErr w:type="spellEnd"/>
      <w:r w:rsidRPr="00916614">
        <w:rPr>
          <w:rFonts w:ascii="Times New Roman" w:hAnsi="Times New Roman" w:cs="Times New Roman"/>
        </w:rPr>
        <w:t xml:space="preserve"> if they are denied relief/referred to the court? </w:t>
      </w:r>
    </w:p>
    <w:p w14:paraId="6A624FEA" w14:textId="23B39D07" w:rsidR="00FF6854" w:rsidRPr="00916614" w:rsidRDefault="00FF6854" w:rsidP="00916614">
      <w:pPr>
        <w:pStyle w:val="ListParagraph"/>
        <w:ind w:left="1080"/>
        <w:rPr>
          <w:rFonts w:ascii="Times New Roman" w:eastAsia="Times New Roman" w:hAnsi="Times New Roman" w:cs="Times New Roman"/>
          <w:i/>
          <w:iCs/>
        </w:rPr>
      </w:pPr>
      <w:r w:rsidRPr="00916614">
        <w:rPr>
          <w:rFonts w:ascii="Times New Roman" w:eastAsia="Times New Roman" w:hAnsi="Times New Roman" w:cs="Times New Roman"/>
          <w:i/>
          <w:iCs/>
        </w:rPr>
        <w:t>That would be up to the asylum Office</w:t>
      </w:r>
    </w:p>
    <w:p w14:paraId="5C809D6A" w14:textId="58A0A171" w:rsidR="00FF6854" w:rsidRPr="00916614" w:rsidRDefault="00FF6854" w:rsidP="00916614">
      <w:pPr>
        <w:spacing w:after="0" w:line="240" w:lineRule="auto"/>
        <w:rPr>
          <w:rFonts w:ascii="Times New Roman" w:hAnsi="Times New Roman" w:cs="Times New Roman"/>
        </w:rPr>
      </w:pPr>
    </w:p>
    <w:p w14:paraId="622B214F" w14:textId="77777777" w:rsidR="00916614" w:rsidRPr="00916614" w:rsidRDefault="00FF6854" w:rsidP="00916614">
      <w:pPr>
        <w:spacing w:after="0" w:line="240" w:lineRule="auto"/>
        <w:rPr>
          <w:rFonts w:ascii="Times New Roman" w:hAnsi="Times New Roman" w:cs="Times New Roman"/>
        </w:rPr>
      </w:pPr>
      <w:r w:rsidRPr="00916614">
        <w:rPr>
          <w:rFonts w:ascii="Times New Roman" w:hAnsi="Times New Roman" w:cs="Times New Roman"/>
        </w:rPr>
        <w:t>Would DHS be amenable to seeking termination instead of requesting an in absentia be ordered for UACs/Juveniles who fail to appear?</w:t>
      </w:r>
    </w:p>
    <w:p w14:paraId="1210EEEF" w14:textId="77777777" w:rsidR="00916614" w:rsidRPr="00916614" w:rsidRDefault="00916614" w:rsidP="00916614">
      <w:pPr>
        <w:pStyle w:val="ListParagraph"/>
        <w:ind w:left="1080"/>
        <w:rPr>
          <w:rFonts w:ascii="Times New Roman" w:eastAsia="Times New Roman" w:hAnsi="Times New Roman" w:cs="Times New Roman"/>
          <w:i/>
          <w:iCs/>
        </w:rPr>
      </w:pPr>
      <w:r w:rsidRPr="00916614">
        <w:rPr>
          <w:rFonts w:ascii="Times New Roman" w:eastAsia="Times New Roman" w:hAnsi="Times New Roman" w:cs="Times New Roman"/>
          <w:i/>
          <w:iCs/>
        </w:rPr>
        <w:t xml:space="preserve">No, if service was proper, DHS will move for an </w:t>
      </w:r>
      <w:proofErr w:type="gramStart"/>
      <w:r w:rsidRPr="00916614">
        <w:rPr>
          <w:rFonts w:ascii="Times New Roman" w:eastAsia="Times New Roman" w:hAnsi="Times New Roman" w:cs="Times New Roman"/>
          <w:i/>
          <w:iCs/>
        </w:rPr>
        <w:t>in absentia</w:t>
      </w:r>
      <w:proofErr w:type="gramEnd"/>
      <w:r w:rsidRPr="00916614">
        <w:rPr>
          <w:rFonts w:ascii="Times New Roman" w:eastAsia="Times New Roman" w:hAnsi="Times New Roman" w:cs="Times New Roman"/>
          <w:i/>
          <w:iCs/>
        </w:rPr>
        <w:t xml:space="preserve"> order</w:t>
      </w:r>
    </w:p>
    <w:p w14:paraId="7B0A61BB" w14:textId="6BDEECB1" w:rsidR="00FF6854" w:rsidRPr="00916614" w:rsidRDefault="00FF6854" w:rsidP="00916614">
      <w:pPr>
        <w:spacing w:after="0" w:line="240" w:lineRule="auto"/>
        <w:rPr>
          <w:rFonts w:ascii="Times New Roman" w:hAnsi="Times New Roman" w:cs="Times New Roman"/>
        </w:rPr>
      </w:pPr>
      <w:r w:rsidRPr="00916614">
        <w:rPr>
          <w:rFonts w:ascii="Times New Roman" w:hAnsi="Times New Roman" w:cs="Times New Roman"/>
        </w:rPr>
        <w:t xml:space="preserve"> </w:t>
      </w:r>
    </w:p>
    <w:p w14:paraId="58543174" w14:textId="448ECD47" w:rsidR="00FF6854" w:rsidRPr="00916614" w:rsidRDefault="00FF6854" w:rsidP="00916614">
      <w:pPr>
        <w:spacing w:after="0" w:line="240" w:lineRule="auto"/>
        <w:rPr>
          <w:rFonts w:ascii="Times New Roman" w:hAnsi="Times New Roman" w:cs="Times New Roman"/>
        </w:rPr>
      </w:pPr>
      <w:r w:rsidRPr="00916614">
        <w:rPr>
          <w:rFonts w:ascii="Times New Roman" w:hAnsi="Times New Roman" w:cs="Times New Roman"/>
        </w:rPr>
        <w:t xml:space="preserve">Understanding that each claim is </w:t>
      </w:r>
      <w:proofErr w:type="gramStart"/>
      <w:r w:rsidRPr="00916614">
        <w:rPr>
          <w:rFonts w:ascii="Times New Roman" w:hAnsi="Times New Roman" w:cs="Times New Roman"/>
        </w:rPr>
        <w:t>unique</w:t>
      </w:r>
      <w:proofErr w:type="gramEnd"/>
      <w:r w:rsidRPr="00916614">
        <w:rPr>
          <w:rFonts w:ascii="Times New Roman" w:hAnsi="Times New Roman" w:cs="Times New Roman"/>
        </w:rPr>
        <w:t xml:space="preserve"> and the Respondent bears the burden of proof, how does DHS plan to approach stipulations in asylum cases? Are there any pieces of a claim they are more likely to stipulate to if the evidence supports it? </w:t>
      </w:r>
    </w:p>
    <w:p w14:paraId="356605B2" w14:textId="0AB3A25E" w:rsidR="00916614" w:rsidRPr="00916614" w:rsidRDefault="00916614" w:rsidP="00916614">
      <w:pPr>
        <w:spacing w:after="0" w:line="240" w:lineRule="auto"/>
        <w:rPr>
          <w:rFonts w:ascii="Times New Roman" w:hAnsi="Times New Roman" w:cs="Times New Roman"/>
          <w:i/>
          <w:iCs/>
        </w:rPr>
      </w:pPr>
      <w:r w:rsidRPr="00916614">
        <w:rPr>
          <w:rFonts w:ascii="Times New Roman" w:hAnsi="Times New Roman" w:cs="Times New Roman"/>
          <w:i/>
          <w:iCs/>
        </w:rPr>
        <w:tab/>
        <w:t>See above</w:t>
      </w:r>
    </w:p>
    <w:p w14:paraId="43F41244" w14:textId="77777777" w:rsidR="00FF6854" w:rsidRPr="00916614" w:rsidRDefault="00FF6854" w:rsidP="00916614">
      <w:pPr>
        <w:spacing w:after="0" w:line="240" w:lineRule="auto"/>
        <w:rPr>
          <w:rFonts w:ascii="Times New Roman" w:hAnsi="Times New Roman" w:cs="Times New Roman"/>
        </w:rPr>
      </w:pPr>
    </w:p>
    <w:p w14:paraId="1A31D666" w14:textId="2868A593" w:rsidR="00B56FE7" w:rsidRPr="00916614" w:rsidRDefault="00FF6854" w:rsidP="00916614">
      <w:pPr>
        <w:spacing w:after="0" w:line="240" w:lineRule="auto"/>
        <w:rPr>
          <w:rFonts w:ascii="Times New Roman" w:hAnsi="Times New Roman" w:cs="Times New Roman"/>
        </w:rPr>
      </w:pPr>
      <w:r w:rsidRPr="00916614">
        <w:rPr>
          <w:rFonts w:ascii="Times New Roman" w:hAnsi="Times New Roman" w:cs="Times New Roman"/>
        </w:rPr>
        <w:t>Would it be possible to do a shortened/expedited hearing based on a conditional stipulation if the Court deems the witness credible on the stand?</w:t>
      </w:r>
    </w:p>
    <w:p w14:paraId="51A4BF6F" w14:textId="10A275AE" w:rsidR="00916614" w:rsidRPr="00916614" w:rsidRDefault="00916614" w:rsidP="00916614">
      <w:pPr>
        <w:spacing w:after="0" w:line="240" w:lineRule="auto"/>
        <w:rPr>
          <w:rFonts w:ascii="Times New Roman" w:hAnsi="Times New Roman" w:cs="Times New Roman"/>
          <w:i/>
          <w:iCs/>
        </w:rPr>
      </w:pPr>
      <w:r w:rsidRPr="00916614">
        <w:rPr>
          <w:rFonts w:ascii="Times New Roman" w:hAnsi="Times New Roman" w:cs="Times New Roman"/>
        </w:rPr>
        <w:tab/>
      </w:r>
      <w:r w:rsidRPr="00916614">
        <w:rPr>
          <w:rFonts w:ascii="Times New Roman" w:hAnsi="Times New Roman" w:cs="Times New Roman"/>
          <w:i/>
          <w:iCs/>
        </w:rPr>
        <w:t>See above</w:t>
      </w:r>
    </w:p>
    <w:p w14:paraId="43895626" w14:textId="77777777" w:rsidR="00916614" w:rsidRPr="00916614" w:rsidRDefault="00916614" w:rsidP="00916614">
      <w:pPr>
        <w:spacing w:after="0" w:line="240" w:lineRule="auto"/>
        <w:rPr>
          <w:rFonts w:ascii="Times New Roman" w:hAnsi="Times New Roman" w:cs="Times New Roman"/>
          <w:i/>
          <w:iCs/>
        </w:rPr>
      </w:pPr>
    </w:p>
    <w:sectPr w:rsidR="00916614" w:rsidRPr="009166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D57AD"/>
    <w:multiLevelType w:val="hybridMultilevel"/>
    <w:tmpl w:val="875A2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8AF6E18"/>
    <w:multiLevelType w:val="hybridMultilevel"/>
    <w:tmpl w:val="D0AE61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74C6384"/>
    <w:multiLevelType w:val="multilevel"/>
    <w:tmpl w:val="F996B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1750E2"/>
    <w:multiLevelType w:val="hybridMultilevel"/>
    <w:tmpl w:val="3B6C2E2C"/>
    <w:lvl w:ilvl="0" w:tplc="F26A5B5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E7"/>
    <w:rsid w:val="00013FF1"/>
    <w:rsid w:val="000725DE"/>
    <w:rsid w:val="000A2F61"/>
    <w:rsid w:val="000D1039"/>
    <w:rsid w:val="000E3149"/>
    <w:rsid w:val="0017614F"/>
    <w:rsid w:val="001C5B9A"/>
    <w:rsid w:val="00327350"/>
    <w:rsid w:val="00377B1B"/>
    <w:rsid w:val="00422F2B"/>
    <w:rsid w:val="004C67D1"/>
    <w:rsid w:val="004D658A"/>
    <w:rsid w:val="006800DF"/>
    <w:rsid w:val="00753B92"/>
    <w:rsid w:val="00783288"/>
    <w:rsid w:val="00786C23"/>
    <w:rsid w:val="00855C0C"/>
    <w:rsid w:val="008624D2"/>
    <w:rsid w:val="008F193A"/>
    <w:rsid w:val="00916614"/>
    <w:rsid w:val="009541E7"/>
    <w:rsid w:val="00957A74"/>
    <w:rsid w:val="009C6D5B"/>
    <w:rsid w:val="009D47BC"/>
    <w:rsid w:val="00A5023F"/>
    <w:rsid w:val="00B03BE2"/>
    <w:rsid w:val="00B20363"/>
    <w:rsid w:val="00B56FE7"/>
    <w:rsid w:val="00BF2DF3"/>
    <w:rsid w:val="00C306BB"/>
    <w:rsid w:val="00C5325C"/>
    <w:rsid w:val="00C75899"/>
    <w:rsid w:val="00CC3DD8"/>
    <w:rsid w:val="00CC75C7"/>
    <w:rsid w:val="00CD4599"/>
    <w:rsid w:val="00CF34D9"/>
    <w:rsid w:val="00DC2C4E"/>
    <w:rsid w:val="00DF233C"/>
    <w:rsid w:val="00E32A89"/>
    <w:rsid w:val="00E84EAF"/>
    <w:rsid w:val="00ED6261"/>
    <w:rsid w:val="00F525A7"/>
    <w:rsid w:val="00FC186A"/>
    <w:rsid w:val="00FD5F2A"/>
    <w:rsid w:val="00FF6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3CA"/>
  <w15:chartTrackingRefBased/>
  <w15:docId w15:val="{74D80CF7-3A79-40ED-A950-72A4F011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614F"/>
    <w:rPr>
      <w:color w:val="0563C1"/>
      <w:u w:val="single"/>
    </w:rPr>
  </w:style>
  <w:style w:type="paragraph" w:styleId="ListParagraph">
    <w:name w:val="List Paragraph"/>
    <w:basedOn w:val="Normal"/>
    <w:uiPriority w:val="34"/>
    <w:qFormat/>
    <w:rsid w:val="00CF34D9"/>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81">
      <w:bodyDiv w:val="1"/>
      <w:marLeft w:val="0"/>
      <w:marRight w:val="0"/>
      <w:marTop w:val="0"/>
      <w:marBottom w:val="0"/>
      <w:divBdr>
        <w:top w:val="none" w:sz="0" w:space="0" w:color="auto"/>
        <w:left w:val="none" w:sz="0" w:space="0" w:color="auto"/>
        <w:bottom w:val="none" w:sz="0" w:space="0" w:color="auto"/>
        <w:right w:val="none" w:sz="0" w:space="0" w:color="auto"/>
      </w:divBdr>
    </w:div>
    <w:div w:id="116341096">
      <w:bodyDiv w:val="1"/>
      <w:marLeft w:val="0"/>
      <w:marRight w:val="0"/>
      <w:marTop w:val="0"/>
      <w:marBottom w:val="0"/>
      <w:divBdr>
        <w:top w:val="none" w:sz="0" w:space="0" w:color="auto"/>
        <w:left w:val="none" w:sz="0" w:space="0" w:color="auto"/>
        <w:bottom w:val="none" w:sz="0" w:space="0" w:color="auto"/>
        <w:right w:val="none" w:sz="0" w:space="0" w:color="auto"/>
      </w:divBdr>
    </w:div>
    <w:div w:id="123501767">
      <w:bodyDiv w:val="1"/>
      <w:marLeft w:val="0"/>
      <w:marRight w:val="0"/>
      <w:marTop w:val="0"/>
      <w:marBottom w:val="0"/>
      <w:divBdr>
        <w:top w:val="none" w:sz="0" w:space="0" w:color="auto"/>
        <w:left w:val="none" w:sz="0" w:space="0" w:color="auto"/>
        <w:bottom w:val="none" w:sz="0" w:space="0" w:color="auto"/>
        <w:right w:val="none" w:sz="0" w:space="0" w:color="auto"/>
      </w:divBdr>
    </w:div>
    <w:div w:id="272134208">
      <w:bodyDiv w:val="1"/>
      <w:marLeft w:val="0"/>
      <w:marRight w:val="0"/>
      <w:marTop w:val="0"/>
      <w:marBottom w:val="0"/>
      <w:divBdr>
        <w:top w:val="none" w:sz="0" w:space="0" w:color="auto"/>
        <w:left w:val="none" w:sz="0" w:space="0" w:color="auto"/>
        <w:bottom w:val="none" w:sz="0" w:space="0" w:color="auto"/>
        <w:right w:val="none" w:sz="0" w:space="0" w:color="auto"/>
      </w:divBdr>
    </w:div>
    <w:div w:id="453449487">
      <w:bodyDiv w:val="1"/>
      <w:marLeft w:val="0"/>
      <w:marRight w:val="0"/>
      <w:marTop w:val="0"/>
      <w:marBottom w:val="0"/>
      <w:divBdr>
        <w:top w:val="none" w:sz="0" w:space="0" w:color="auto"/>
        <w:left w:val="none" w:sz="0" w:space="0" w:color="auto"/>
        <w:bottom w:val="none" w:sz="0" w:space="0" w:color="auto"/>
        <w:right w:val="none" w:sz="0" w:space="0" w:color="auto"/>
      </w:divBdr>
    </w:div>
    <w:div w:id="457921318">
      <w:bodyDiv w:val="1"/>
      <w:marLeft w:val="0"/>
      <w:marRight w:val="0"/>
      <w:marTop w:val="0"/>
      <w:marBottom w:val="0"/>
      <w:divBdr>
        <w:top w:val="none" w:sz="0" w:space="0" w:color="auto"/>
        <w:left w:val="none" w:sz="0" w:space="0" w:color="auto"/>
        <w:bottom w:val="none" w:sz="0" w:space="0" w:color="auto"/>
        <w:right w:val="none" w:sz="0" w:space="0" w:color="auto"/>
      </w:divBdr>
    </w:div>
    <w:div w:id="706175387">
      <w:bodyDiv w:val="1"/>
      <w:marLeft w:val="0"/>
      <w:marRight w:val="0"/>
      <w:marTop w:val="0"/>
      <w:marBottom w:val="0"/>
      <w:divBdr>
        <w:top w:val="none" w:sz="0" w:space="0" w:color="auto"/>
        <w:left w:val="none" w:sz="0" w:space="0" w:color="auto"/>
        <w:bottom w:val="none" w:sz="0" w:space="0" w:color="auto"/>
        <w:right w:val="none" w:sz="0" w:space="0" w:color="auto"/>
      </w:divBdr>
    </w:div>
    <w:div w:id="914390065">
      <w:bodyDiv w:val="1"/>
      <w:marLeft w:val="0"/>
      <w:marRight w:val="0"/>
      <w:marTop w:val="0"/>
      <w:marBottom w:val="0"/>
      <w:divBdr>
        <w:top w:val="none" w:sz="0" w:space="0" w:color="auto"/>
        <w:left w:val="none" w:sz="0" w:space="0" w:color="auto"/>
        <w:bottom w:val="none" w:sz="0" w:space="0" w:color="auto"/>
        <w:right w:val="none" w:sz="0" w:space="0" w:color="auto"/>
      </w:divBdr>
    </w:div>
    <w:div w:id="916940406">
      <w:bodyDiv w:val="1"/>
      <w:marLeft w:val="0"/>
      <w:marRight w:val="0"/>
      <w:marTop w:val="0"/>
      <w:marBottom w:val="0"/>
      <w:divBdr>
        <w:top w:val="none" w:sz="0" w:space="0" w:color="auto"/>
        <w:left w:val="none" w:sz="0" w:space="0" w:color="auto"/>
        <w:bottom w:val="none" w:sz="0" w:space="0" w:color="auto"/>
        <w:right w:val="none" w:sz="0" w:space="0" w:color="auto"/>
      </w:divBdr>
    </w:div>
    <w:div w:id="1373917891">
      <w:bodyDiv w:val="1"/>
      <w:marLeft w:val="0"/>
      <w:marRight w:val="0"/>
      <w:marTop w:val="0"/>
      <w:marBottom w:val="0"/>
      <w:divBdr>
        <w:top w:val="none" w:sz="0" w:space="0" w:color="auto"/>
        <w:left w:val="none" w:sz="0" w:space="0" w:color="auto"/>
        <w:bottom w:val="none" w:sz="0" w:space="0" w:color="auto"/>
        <w:right w:val="none" w:sz="0" w:space="0" w:color="auto"/>
      </w:divBdr>
    </w:div>
    <w:div w:id="1377200137">
      <w:bodyDiv w:val="1"/>
      <w:marLeft w:val="0"/>
      <w:marRight w:val="0"/>
      <w:marTop w:val="0"/>
      <w:marBottom w:val="0"/>
      <w:divBdr>
        <w:top w:val="none" w:sz="0" w:space="0" w:color="auto"/>
        <w:left w:val="none" w:sz="0" w:space="0" w:color="auto"/>
        <w:bottom w:val="none" w:sz="0" w:space="0" w:color="auto"/>
        <w:right w:val="none" w:sz="0" w:space="0" w:color="auto"/>
      </w:divBdr>
    </w:div>
    <w:div w:id="1520506826">
      <w:bodyDiv w:val="1"/>
      <w:marLeft w:val="0"/>
      <w:marRight w:val="0"/>
      <w:marTop w:val="0"/>
      <w:marBottom w:val="0"/>
      <w:divBdr>
        <w:top w:val="none" w:sz="0" w:space="0" w:color="auto"/>
        <w:left w:val="none" w:sz="0" w:space="0" w:color="auto"/>
        <w:bottom w:val="none" w:sz="0" w:space="0" w:color="auto"/>
        <w:right w:val="none" w:sz="0" w:space="0" w:color="auto"/>
      </w:divBdr>
    </w:div>
    <w:div w:id="1667442160">
      <w:bodyDiv w:val="1"/>
      <w:marLeft w:val="0"/>
      <w:marRight w:val="0"/>
      <w:marTop w:val="0"/>
      <w:marBottom w:val="0"/>
      <w:divBdr>
        <w:top w:val="none" w:sz="0" w:space="0" w:color="auto"/>
        <w:left w:val="none" w:sz="0" w:space="0" w:color="auto"/>
        <w:bottom w:val="none" w:sz="0" w:space="0" w:color="auto"/>
        <w:right w:val="none" w:sz="0" w:space="0" w:color="auto"/>
      </w:divBdr>
    </w:div>
    <w:div w:id="1905868220">
      <w:bodyDiv w:val="1"/>
      <w:marLeft w:val="0"/>
      <w:marRight w:val="0"/>
      <w:marTop w:val="0"/>
      <w:marBottom w:val="0"/>
      <w:divBdr>
        <w:top w:val="none" w:sz="0" w:space="0" w:color="auto"/>
        <w:left w:val="none" w:sz="0" w:space="0" w:color="auto"/>
        <w:bottom w:val="none" w:sz="0" w:space="0" w:color="auto"/>
        <w:right w:val="none" w:sz="0" w:space="0" w:color="auto"/>
      </w:divBdr>
    </w:div>
    <w:div w:id="202108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CE-OPLA-SPM-PD@ice.d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ce-opla-spm-pd@ice.dh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4C5FB-3F97-42D6-8A2A-404EB1CA5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1042</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Mary A</dc:creator>
  <cp:keywords/>
  <dc:description/>
  <cp:lastModifiedBy>Hogan, Mary A</cp:lastModifiedBy>
  <cp:revision>3</cp:revision>
  <dcterms:created xsi:type="dcterms:W3CDTF">2022-05-02T18:05:00Z</dcterms:created>
  <dcterms:modified xsi:type="dcterms:W3CDTF">2022-05-03T14:25:00Z</dcterms:modified>
</cp:coreProperties>
</file>